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627E" w14:textId="77777777" w:rsidR="00B36DDE" w:rsidRDefault="00B36DDE" w:rsidP="00B36DDE">
      <w:pPr>
        <w:rPr>
          <w:b/>
          <w:lang w:val="ro-RO"/>
        </w:rPr>
      </w:pPr>
      <w:r>
        <w:rPr>
          <w:b/>
          <w:lang w:val="ro-RO"/>
        </w:rPr>
        <w:t>ROMANIA</w:t>
      </w:r>
    </w:p>
    <w:p w14:paraId="66333EFB" w14:textId="77777777" w:rsidR="00B36DDE" w:rsidRDefault="00B36DDE" w:rsidP="00B36DDE">
      <w:pPr>
        <w:rPr>
          <w:b/>
          <w:lang w:val="ro-RO"/>
        </w:rPr>
      </w:pPr>
      <w:r>
        <w:rPr>
          <w:b/>
          <w:lang w:val="ro-RO"/>
        </w:rPr>
        <w:t>JUDETUL CLUJ</w:t>
      </w:r>
    </w:p>
    <w:p w14:paraId="570420C3" w14:textId="77777777" w:rsidR="00B36DDE" w:rsidRDefault="00B36DDE" w:rsidP="00B36DDE">
      <w:pPr>
        <w:rPr>
          <w:b/>
          <w:lang w:val="ro-RO"/>
        </w:rPr>
      </w:pPr>
      <w:r>
        <w:rPr>
          <w:b/>
          <w:lang w:val="ro-RO"/>
        </w:rPr>
        <w:t xml:space="preserve">PRIMARIA COMUNEI </w:t>
      </w:r>
    </w:p>
    <w:p w14:paraId="5469C32A" w14:textId="77777777" w:rsidR="00B36DDE" w:rsidRDefault="00B36DDE" w:rsidP="00B36DDE">
      <w:pPr>
        <w:rPr>
          <w:b/>
          <w:lang w:val="ro-RO"/>
        </w:rPr>
      </w:pPr>
      <w:r>
        <w:rPr>
          <w:b/>
          <w:lang w:val="ro-RO"/>
        </w:rPr>
        <w:t>MINTIU GHERLII</w:t>
      </w:r>
    </w:p>
    <w:p w14:paraId="7870F26E" w14:textId="77777777" w:rsidR="00B36DDE" w:rsidRDefault="00B36DDE" w:rsidP="00B36DDE">
      <w:pPr>
        <w:rPr>
          <w:lang w:val="ro-RO"/>
        </w:rPr>
      </w:pPr>
      <w:r>
        <w:rPr>
          <w:b/>
          <w:lang w:val="ro-RO"/>
        </w:rPr>
        <w:t>Telefon / Fax 0264-241767</w:t>
      </w:r>
    </w:p>
    <w:p w14:paraId="20114D70" w14:textId="77777777" w:rsidR="00B36DDE" w:rsidRDefault="00B36DDE" w:rsidP="00B36DDE">
      <w:pPr>
        <w:rPr>
          <w:lang w:val="ro-RO"/>
        </w:rPr>
      </w:pPr>
      <w:r>
        <w:rPr>
          <w:lang w:val="ro-RO"/>
        </w:rPr>
        <w:t>Nr. 5841/27 10 2023</w:t>
      </w:r>
    </w:p>
    <w:p w14:paraId="52D495AE" w14:textId="77777777" w:rsidR="00B36DDE" w:rsidRDefault="00B36DDE" w:rsidP="00B36DDE">
      <w:pPr>
        <w:rPr>
          <w:lang w:val="ro-RO"/>
        </w:rPr>
      </w:pPr>
    </w:p>
    <w:p w14:paraId="407F25CD" w14:textId="77777777" w:rsidR="00B36DDE" w:rsidRDefault="00B36DDE" w:rsidP="00B36DDE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</w:t>
      </w:r>
    </w:p>
    <w:p w14:paraId="68DA1165" w14:textId="77777777" w:rsidR="00B36DDE" w:rsidRDefault="00B36DDE" w:rsidP="00B36DDE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ANUNT EXAMEN PROMOVARE IN GRAD PROFESIONAL</w:t>
      </w:r>
    </w:p>
    <w:p w14:paraId="10DA4D6D" w14:textId="77777777" w:rsidR="00B36DDE" w:rsidRDefault="00B36DDE" w:rsidP="00B36DDE">
      <w:pPr>
        <w:jc w:val="center"/>
        <w:rPr>
          <w:b/>
          <w:sz w:val="28"/>
          <w:szCs w:val="28"/>
          <w:u w:val="single"/>
          <w:lang w:val="ro-RO"/>
        </w:rPr>
      </w:pPr>
    </w:p>
    <w:p w14:paraId="21D8FA22" w14:textId="77777777" w:rsidR="00B36DDE" w:rsidRDefault="00B36DDE" w:rsidP="00B36DDE">
      <w:pPr>
        <w:jc w:val="center"/>
        <w:rPr>
          <w:b/>
          <w:sz w:val="28"/>
          <w:szCs w:val="28"/>
          <w:u w:val="single"/>
          <w:lang w:val="ro-RO"/>
        </w:rPr>
      </w:pPr>
    </w:p>
    <w:p w14:paraId="1C00B249" w14:textId="77777777" w:rsidR="00B36DDE" w:rsidRDefault="00B36DDE" w:rsidP="00B36DDE">
      <w:pPr>
        <w:jc w:val="both"/>
        <w:rPr>
          <w:rStyle w:val="Robust"/>
          <w:color w:val="212529"/>
          <w:sz w:val="22"/>
          <w:szCs w:val="22"/>
          <w:shd w:val="clear" w:color="auto" w:fill="FFFFFF"/>
        </w:rPr>
      </w:pPr>
      <w:r>
        <w:rPr>
          <w:color w:val="212529"/>
          <w:sz w:val="22"/>
          <w:szCs w:val="22"/>
          <w:shd w:val="clear" w:color="auto" w:fill="FFFFFF"/>
        </w:rPr>
        <w:t xml:space="preserve">       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conformitate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prevederile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art.617 </w:t>
      </w:r>
      <w:proofErr w:type="spellStart"/>
      <w:proofErr w:type="gramStart"/>
      <w:r>
        <w:rPr>
          <w:color w:val="212529"/>
          <w:sz w:val="22"/>
          <w:szCs w:val="22"/>
          <w:shd w:val="clear" w:color="auto" w:fill="FFFFFF"/>
        </w:rPr>
        <w:t>alin</w:t>
      </w:r>
      <w:proofErr w:type="spellEnd"/>
      <w:r>
        <w:rPr>
          <w:color w:val="212529"/>
          <w:sz w:val="22"/>
          <w:szCs w:val="22"/>
          <w:shd w:val="clear" w:color="auto" w:fill="FFFFFF"/>
        </w:rPr>
        <w:t>.(</w:t>
      </w:r>
      <w:proofErr w:type="gramEnd"/>
      <w:r>
        <w:rPr>
          <w:color w:val="212529"/>
          <w:sz w:val="22"/>
          <w:szCs w:val="22"/>
          <w:shd w:val="clear" w:color="auto" w:fill="FFFFFF"/>
        </w:rPr>
        <w:t xml:space="preserve">2) </w:t>
      </w:r>
      <w:proofErr w:type="spellStart"/>
      <w:r>
        <w:rPr>
          <w:color w:val="212529"/>
          <w:sz w:val="22"/>
          <w:szCs w:val="22"/>
          <w:shd w:val="clear" w:color="auto" w:fill="FFFFFF"/>
        </w:rPr>
        <w:t>şi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al art. 618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alin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. (22) din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Ordonanța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urgență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Guvernului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nr. 57/2019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privind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Codul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administrativ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modificările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și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completările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ulterioare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și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ale Hotărârii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Guvernului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nr. 611/2008Guvernului nr. 611/2008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pentru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aprobarea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normelor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privind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organizarea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şi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dezvoltarea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carierei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funcţionarilor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publici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modificările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și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completările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ulterioare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Primaria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comunei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Mintiu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Gherlii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jud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color w:val="212529"/>
          <w:sz w:val="22"/>
          <w:szCs w:val="22"/>
          <w:shd w:val="clear" w:color="auto" w:fill="FFFFFF"/>
        </w:rPr>
        <w:t xml:space="preserve">Cluj 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organizează</w:t>
      </w:r>
      <w:proofErr w:type="spellEnd"/>
      <w:proofErr w:type="gramEnd"/>
      <w:r>
        <w:rPr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sediul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instituţiei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din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Mintiu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Gherlii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nr. 184, </w:t>
      </w:r>
      <w:r>
        <w:rPr>
          <w:rStyle w:val="Robust"/>
          <w:color w:val="212529"/>
          <w:sz w:val="22"/>
          <w:szCs w:val="22"/>
          <w:shd w:val="clear" w:color="auto" w:fill="FFFFFF"/>
        </w:rPr>
        <w:t xml:space="preserve">examen de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promovare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grad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profesional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pentru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următoarele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funcții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publice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execuție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>:</w:t>
      </w:r>
    </w:p>
    <w:p w14:paraId="61C45C61" w14:textId="77777777" w:rsidR="00B36DDE" w:rsidRDefault="00B36DDE" w:rsidP="00B36DDE">
      <w:pPr>
        <w:jc w:val="both"/>
        <w:rPr>
          <w:rStyle w:val="Robust"/>
          <w:color w:val="212529"/>
          <w:sz w:val="22"/>
          <w:szCs w:val="22"/>
          <w:shd w:val="clear" w:color="auto" w:fill="FFFFFF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1448"/>
        <w:gridCol w:w="870"/>
        <w:gridCol w:w="1553"/>
        <w:gridCol w:w="2487"/>
        <w:gridCol w:w="1441"/>
        <w:gridCol w:w="1006"/>
      </w:tblGrid>
      <w:tr w:rsidR="00B36DDE" w14:paraId="155DF590" w14:textId="4AF00C7E" w:rsidTr="00B36D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87A" w14:textId="77777777" w:rsidR="00B36DDE" w:rsidRDefault="00B36DDE">
            <w:r>
              <w:t>Nr. crt.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7818" w14:textId="77777777" w:rsidR="00B36DDE" w:rsidRDefault="00B36DDE">
            <w:r>
              <w:rPr>
                <w:color w:val="212529"/>
                <w:shd w:val="clear" w:color="auto" w:fill="FFFFFF"/>
              </w:rPr>
              <w:t>Funcția publică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083" w14:textId="77777777" w:rsidR="00B36DDE" w:rsidRDefault="00B36DDE">
            <w:r>
              <w:rPr>
                <w:color w:val="212529"/>
                <w:shd w:val="clear" w:color="auto" w:fill="FFFFFF"/>
              </w:rPr>
              <w:t>Clasa 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BBB" w14:textId="77777777" w:rsidR="00B36DDE" w:rsidRDefault="00B36DDE">
            <w:r>
              <w:rPr>
                <w:color w:val="212529"/>
                <w:shd w:val="clear" w:color="auto" w:fill="FFFFFF"/>
              </w:rPr>
              <w:t>Grad profesional deținut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9C1E" w14:textId="77777777" w:rsidR="00B36DDE" w:rsidRDefault="00B36DDE">
            <w:r>
              <w:rPr>
                <w:color w:val="212529"/>
                <w:shd w:val="clear" w:color="auto" w:fill="FFFFFF"/>
              </w:rPr>
              <w:t>Structura funcțională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3CE" w14:textId="77777777" w:rsidR="00B36DDE" w:rsidRDefault="00B36DDE">
            <w:r>
              <w:rPr>
                <w:color w:val="212529"/>
                <w:shd w:val="clear" w:color="auto" w:fill="FFFFFF"/>
              </w:rPr>
              <w:t>Grad profesional după promovare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6C9" w14:textId="6F169374" w:rsidR="00B36DDE" w:rsidRDefault="00B36D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Nr. posturi</w:t>
            </w:r>
          </w:p>
        </w:tc>
      </w:tr>
      <w:tr w:rsidR="00B36DDE" w14:paraId="31AB30E3" w14:textId="2EA31522" w:rsidTr="00B36D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52FA" w14:textId="77777777" w:rsidR="00B36DDE" w:rsidRDefault="00B36DDE"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2D76" w14:textId="77777777" w:rsidR="00B36DDE" w:rsidRDefault="00B36DDE">
            <w:r>
              <w:t>Consilier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69B" w14:textId="77777777" w:rsidR="00B36DDE" w:rsidRDefault="00B36DDE">
            <w:r>
              <w:t>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332" w14:textId="77777777" w:rsidR="00B36DDE" w:rsidRDefault="00B36DDE">
            <w:r>
              <w:t>Principal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BAB" w14:textId="77777777" w:rsidR="00B36DDE" w:rsidRPr="00B36DDE" w:rsidRDefault="00B36DDE">
            <w:pPr>
              <w:rPr>
                <w:bCs/>
                <w:sz w:val="22"/>
                <w:szCs w:val="22"/>
              </w:rPr>
            </w:pPr>
            <w:r w:rsidRPr="00B36DDE">
              <w:rPr>
                <w:sz w:val="22"/>
                <w:szCs w:val="22"/>
              </w:rPr>
              <w:t xml:space="preserve">Compartimentul </w:t>
            </w:r>
            <w:proofErr w:type="spellStart"/>
            <w:r w:rsidRPr="00B36DDE">
              <w:rPr>
                <w:sz w:val="22"/>
                <w:szCs w:val="22"/>
              </w:rPr>
              <w:t>Administratie</w:t>
            </w:r>
            <w:proofErr w:type="spellEnd"/>
            <w:r w:rsidRPr="00B36DDE">
              <w:rPr>
                <w:sz w:val="22"/>
                <w:szCs w:val="22"/>
              </w:rPr>
              <w:t xml:space="preserve"> publica locala</w:t>
            </w:r>
            <w:r w:rsidRPr="00B36DDE">
              <w:rPr>
                <w:b/>
                <w:sz w:val="22"/>
                <w:szCs w:val="22"/>
              </w:rPr>
              <w:t xml:space="preserve">, </w:t>
            </w:r>
            <w:r w:rsidRPr="00B36DDE">
              <w:rPr>
                <w:bCs/>
                <w:sz w:val="22"/>
                <w:szCs w:val="22"/>
              </w:rPr>
              <w:t>secretariat administrativ, stare civila, autoritate tutelara, registru agricol, fond funciar cadastru</w:t>
            </w:r>
          </w:p>
          <w:p w14:paraId="58F3A52E" w14:textId="77777777" w:rsidR="00B36DDE" w:rsidRDefault="00B36DDE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92F" w14:textId="77777777" w:rsidR="00B36DDE" w:rsidRDefault="00B36DDE">
            <w:r>
              <w:t>Superior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736C" w14:textId="5023B137" w:rsidR="00B36DDE" w:rsidRDefault="00B36DDE">
            <w:r>
              <w:t>1</w:t>
            </w:r>
          </w:p>
        </w:tc>
      </w:tr>
      <w:tr w:rsidR="00B36DDE" w14:paraId="4958D749" w14:textId="454EC74F" w:rsidTr="00B36DD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52E1" w14:textId="77777777" w:rsidR="00B36DDE" w:rsidRDefault="00B36DDE">
            <w:r>
              <w:t>2.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301F" w14:textId="77777777" w:rsidR="00B36DDE" w:rsidRDefault="00B36DDE">
            <w:proofErr w:type="spellStart"/>
            <w:r>
              <w:t>Politist</w:t>
            </w:r>
            <w:proofErr w:type="spellEnd"/>
            <w:r>
              <w:t xml:space="preserve"> local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973" w14:textId="77777777" w:rsidR="00B36DDE" w:rsidRDefault="00B36DDE">
            <w:r>
              <w:t>III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CF7F" w14:textId="77777777" w:rsidR="00B36DDE" w:rsidRDefault="00B36DDE">
            <w:r>
              <w:t xml:space="preserve">Principal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EFE3" w14:textId="77777777" w:rsidR="00B36DDE" w:rsidRPr="00B36DDE" w:rsidRDefault="00B36DDE">
            <w:pPr>
              <w:rPr>
                <w:sz w:val="22"/>
                <w:szCs w:val="22"/>
              </w:rPr>
            </w:pPr>
            <w:r w:rsidRPr="00B36DDE">
              <w:rPr>
                <w:sz w:val="22"/>
                <w:szCs w:val="22"/>
              </w:rPr>
              <w:t>Compartimentul Politie locala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C81" w14:textId="77777777" w:rsidR="00B36DDE" w:rsidRDefault="00B36DDE">
            <w:r>
              <w:t xml:space="preserve">Superior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9B4" w14:textId="0452705D" w:rsidR="00B36DDE" w:rsidRDefault="00B36DDE">
            <w:r>
              <w:t>1</w:t>
            </w:r>
          </w:p>
        </w:tc>
      </w:tr>
    </w:tbl>
    <w:p w14:paraId="7047E043" w14:textId="6054A77A" w:rsidR="00B36DDE" w:rsidRDefault="00B36DDE" w:rsidP="00B36DDE">
      <w:pPr>
        <w:rPr>
          <w:color w:val="212529"/>
          <w:sz w:val="22"/>
          <w:szCs w:val="22"/>
          <w:shd w:val="clear" w:color="auto" w:fill="FFFFFF"/>
        </w:rPr>
      </w:pPr>
      <w:proofErr w:type="spellStart"/>
      <w:r>
        <w:rPr>
          <w:rStyle w:val="Robust"/>
          <w:color w:val="212529"/>
          <w:sz w:val="22"/>
          <w:szCs w:val="22"/>
          <w:u w:val="single"/>
          <w:shd w:val="clear" w:color="auto" w:fill="FFFFFF"/>
        </w:rPr>
        <w:t>Condiții</w:t>
      </w:r>
      <w:proofErr w:type="spellEnd"/>
      <w:r>
        <w:rPr>
          <w:rStyle w:val="Robust"/>
          <w:color w:val="212529"/>
          <w:sz w:val="22"/>
          <w:szCs w:val="22"/>
          <w:u w:val="single"/>
          <w:shd w:val="clear" w:color="auto" w:fill="FFFFFF"/>
        </w:rPr>
        <w:t xml:space="preserve"> de </w:t>
      </w:r>
      <w:proofErr w:type="spellStart"/>
      <w:r>
        <w:rPr>
          <w:rStyle w:val="Robust"/>
          <w:color w:val="212529"/>
          <w:sz w:val="22"/>
          <w:szCs w:val="22"/>
          <w:u w:val="single"/>
          <w:shd w:val="clear" w:color="auto" w:fill="FFFFFF"/>
        </w:rPr>
        <w:t>participare</w:t>
      </w:r>
      <w:proofErr w:type="spellEnd"/>
      <w:r>
        <w:rPr>
          <w:rStyle w:val="Robust"/>
          <w:color w:val="212529"/>
          <w:sz w:val="22"/>
          <w:szCs w:val="22"/>
          <w:u w:val="single"/>
          <w:shd w:val="clear" w:color="auto" w:fill="FFFFFF"/>
        </w:rPr>
        <w:t xml:space="preserve"> la examen: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Candidații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trebuie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să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îndeplinească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condițiile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generale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prevăzute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de art. 479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alin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. (1) cu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excepția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literei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b) din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Ordonanța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urgență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Guvernului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nr. 57/2019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privind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Codul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administrativ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modificările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și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completările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ulterioare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respectiv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>: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aibă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cel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puţin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3 ani </w:t>
      </w:r>
      <w:proofErr w:type="spellStart"/>
      <w:r>
        <w:rPr>
          <w:color w:val="212529"/>
          <w:sz w:val="22"/>
          <w:szCs w:val="22"/>
          <w:shd w:val="clear" w:color="auto" w:fill="FFFFFF"/>
        </w:rPr>
        <w:t>vechime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gradul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profesional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al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funcţiei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publice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din care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promovează</w:t>
      </w:r>
      <w:proofErr w:type="spellEnd"/>
      <w:r>
        <w:rPr>
          <w:color w:val="212529"/>
          <w:sz w:val="22"/>
          <w:szCs w:val="22"/>
          <w:shd w:val="clear" w:color="auto" w:fill="FFFFFF"/>
        </w:rPr>
        <w:t>; 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fi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obţinut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cel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puţin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calificativul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"bine" 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evaluarea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performanţelor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individuale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ultimii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2 ani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activitate</w:t>
      </w:r>
      <w:proofErr w:type="spellEnd"/>
      <w:r>
        <w:rPr>
          <w:color w:val="212529"/>
          <w:sz w:val="22"/>
          <w:szCs w:val="22"/>
          <w:shd w:val="clear" w:color="auto" w:fill="FFFFFF"/>
        </w:rPr>
        <w:t>; 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-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nu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aibă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sancţiune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disciplinară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neradiată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condiţiile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Codului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administrativ</w:t>
      </w:r>
      <w:proofErr w:type="spellEnd"/>
      <w:r>
        <w:rPr>
          <w:color w:val="212529"/>
          <w:sz w:val="22"/>
          <w:szCs w:val="22"/>
          <w:shd w:val="clear" w:color="auto" w:fill="FFFFFF"/>
        </w:rPr>
        <w:t>.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Dosarele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înscriere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 xml:space="preserve">la </w:t>
      </w:r>
      <w:proofErr w:type="spellStart"/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>examenul</w:t>
      </w:r>
      <w:proofErr w:type="spellEnd"/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>promovare</w:t>
      </w:r>
      <w:proofErr w:type="spellEnd"/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 xml:space="preserve"> se </w:t>
      </w:r>
      <w:proofErr w:type="spellStart"/>
      <w:r w:rsidRPr="00B36DDE">
        <w:rPr>
          <w:rStyle w:val="Robust"/>
          <w:b w:val="0"/>
          <w:bCs w:val="0"/>
          <w:color w:val="212529"/>
          <w:sz w:val="22"/>
          <w:szCs w:val="22"/>
          <w:shd w:val="clear" w:color="auto" w:fill="FFFFFF"/>
        </w:rPr>
        <w:t>depun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 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sediul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termen de 20 </w:t>
      </w:r>
      <w:proofErr w:type="spellStart"/>
      <w:r>
        <w:rPr>
          <w:color w:val="212529"/>
          <w:sz w:val="22"/>
          <w:szCs w:val="22"/>
          <w:shd w:val="clear" w:color="auto" w:fill="FFFFFF"/>
        </w:rPr>
        <w:t>zile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la data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publicării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anunțului</w:t>
      </w:r>
      <w:proofErr w:type="spellEnd"/>
      <w:r>
        <w:rPr>
          <w:color w:val="212529"/>
          <w:sz w:val="22"/>
          <w:szCs w:val="22"/>
          <w:shd w:val="clear" w:color="auto" w:fill="FFFFFF"/>
        </w:rPr>
        <w:t>, 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respectiv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perioada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27 octombrie-15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noiembrie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2023,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inclusiv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conțin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mod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obligatoriu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următoarele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documente</w:t>
      </w:r>
      <w:proofErr w:type="spellEnd"/>
      <w:r>
        <w:rPr>
          <w:color w:val="212529"/>
          <w:sz w:val="22"/>
          <w:szCs w:val="22"/>
          <w:shd w:val="clear" w:color="auto" w:fill="FFFFFF"/>
        </w:rPr>
        <w:t>: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a)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formularul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înscriere</w:t>
      </w:r>
      <w:proofErr w:type="spellEnd"/>
      <w:r>
        <w:rPr>
          <w:color w:val="212529"/>
          <w:sz w:val="22"/>
          <w:szCs w:val="22"/>
          <w:shd w:val="clear" w:color="auto" w:fill="FFFFFF"/>
        </w:rPr>
        <w:t>;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b)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copie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pe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carnetul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muncă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sau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adeverinţa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eliberată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compartimentul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resurse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umane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vederea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atestării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</w:p>
    <w:p w14:paraId="107354E4" w14:textId="746112E4" w:rsidR="00B36DDE" w:rsidRDefault="00B36DDE" w:rsidP="00B36DDE">
      <w:pPr>
        <w:rPr>
          <w:rStyle w:val="Robust"/>
        </w:rPr>
      </w:pPr>
      <w:r>
        <w:rPr>
          <w:color w:val="212529"/>
          <w:sz w:val="22"/>
          <w:szCs w:val="22"/>
          <w:shd w:val="clear" w:color="auto" w:fill="FFFFFF"/>
        </w:rPr>
        <w:lastRenderedPageBreak/>
        <w:t xml:space="preserve">c) </w:t>
      </w:r>
      <w:proofErr w:type="spellStart"/>
      <w:r>
        <w:rPr>
          <w:color w:val="212529"/>
          <w:sz w:val="22"/>
          <w:szCs w:val="22"/>
          <w:shd w:val="clear" w:color="auto" w:fill="FFFFFF"/>
        </w:rPr>
        <w:t>vechimii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gradul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profesional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din care se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promovează</w:t>
      </w:r>
      <w:proofErr w:type="spellEnd"/>
      <w:r>
        <w:rPr>
          <w:color w:val="212529"/>
          <w:sz w:val="22"/>
          <w:szCs w:val="22"/>
          <w:shd w:val="clear" w:color="auto" w:fill="FFFFFF"/>
        </w:rPr>
        <w:t>;</w:t>
      </w:r>
      <w:r>
        <w:rPr>
          <w:color w:val="212529"/>
          <w:sz w:val="22"/>
          <w:szCs w:val="22"/>
        </w:rPr>
        <w:br/>
      </w:r>
      <w:proofErr w:type="spellStart"/>
      <w:r>
        <w:rPr>
          <w:color w:val="212529"/>
          <w:sz w:val="22"/>
          <w:szCs w:val="22"/>
          <w:shd w:val="clear" w:color="auto" w:fill="FFFFFF"/>
        </w:rPr>
        <w:t>copii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pe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rapoartele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evaluare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performanţelor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profesionale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individuale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din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ultimii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2 ani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activitate</w:t>
      </w:r>
      <w:proofErr w:type="spellEnd"/>
      <w:r>
        <w:rPr>
          <w:color w:val="212529"/>
          <w:sz w:val="22"/>
          <w:szCs w:val="22"/>
          <w:shd w:val="clear" w:color="auto" w:fill="FFFFFF"/>
        </w:rPr>
        <w:t>;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 xml:space="preserve">d)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adeverinţa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eliberată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compartimentul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resurse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umane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vederea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atestării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situaţiei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disciplinare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funcţionarului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public,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care se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menţionează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expres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dacă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acestuia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-a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fost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aplicată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sancţiune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disciplinară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care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nu fi </w:t>
      </w:r>
      <w:proofErr w:type="spellStart"/>
      <w:r>
        <w:rPr>
          <w:color w:val="212529"/>
          <w:sz w:val="22"/>
          <w:szCs w:val="22"/>
          <w:shd w:val="clear" w:color="auto" w:fill="FFFFFF"/>
        </w:rPr>
        <w:t>fost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radiată</w:t>
      </w:r>
      <w:proofErr w:type="spellEnd"/>
      <w:r>
        <w:rPr>
          <w:color w:val="212529"/>
          <w:sz w:val="22"/>
          <w:szCs w:val="22"/>
          <w:shd w:val="clear" w:color="auto" w:fill="FFFFFF"/>
        </w:rPr>
        <w:t>;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proofErr w:type="spellStart"/>
      <w:r>
        <w:rPr>
          <w:color w:val="212529"/>
          <w:sz w:val="22"/>
          <w:szCs w:val="22"/>
          <w:shd w:val="clear" w:color="auto" w:fill="FFFFFF"/>
        </w:rPr>
        <w:t>Copiile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pe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actele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mai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sus se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prezintă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copii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legalizate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sau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însoțite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documentele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originale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care se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certifică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pentru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conformitate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originalul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către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secretarul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comisiei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concurs.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Calendarul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desfășurare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examenului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>: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>-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proba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scrisă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data de </w:t>
      </w:r>
      <w:r>
        <w:rPr>
          <w:b/>
          <w:bCs/>
          <w:color w:val="212529"/>
          <w:sz w:val="22"/>
          <w:szCs w:val="22"/>
          <w:shd w:val="clear" w:color="auto" w:fill="FFFFFF"/>
        </w:rPr>
        <w:t>28 11 2023</w:t>
      </w:r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ora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10.00, 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sediul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instituţiei</w:t>
      </w:r>
      <w:proofErr w:type="spellEnd"/>
      <w:r>
        <w:rPr>
          <w:color w:val="212529"/>
          <w:sz w:val="22"/>
          <w:szCs w:val="22"/>
          <w:shd w:val="clear" w:color="auto" w:fill="FFFFFF"/>
        </w:rPr>
        <w:t>;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  <w:shd w:val="clear" w:color="auto" w:fill="FFFFFF"/>
        </w:rPr>
        <w:t>-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proba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interviu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în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termen de maximum 5 </w:t>
      </w:r>
      <w:proofErr w:type="spellStart"/>
      <w:r>
        <w:rPr>
          <w:color w:val="212529"/>
          <w:sz w:val="22"/>
          <w:szCs w:val="22"/>
          <w:shd w:val="clear" w:color="auto" w:fill="FFFFFF"/>
        </w:rPr>
        <w:t>zile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lucrătoare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de la data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susținerii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probei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scrise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sediul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instituției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212529"/>
          <w:sz w:val="22"/>
          <w:szCs w:val="22"/>
          <w:shd w:val="clear" w:color="auto" w:fill="FFFFFF"/>
        </w:rPr>
        <w:t>doar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acei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candidați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care au </w:t>
      </w:r>
      <w:proofErr w:type="spellStart"/>
      <w:r>
        <w:rPr>
          <w:color w:val="212529"/>
          <w:sz w:val="22"/>
          <w:szCs w:val="22"/>
          <w:shd w:val="clear" w:color="auto" w:fill="FFFFFF"/>
        </w:rPr>
        <w:t>obținut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proba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212529"/>
          <w:sz w:val="22"/>
          <w:szCs w:val="22"/>
          <w:shd w:val="clear" w:color="auto" w:fill="FFFFFF"/>
        </w:rPr>
        <w:t>scrisă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minimum 50 </w:t>
      </w:r>
      <w:proofErr w:type="spellStart"/>
      <w:r>
        <w:rPr>
          <w:color w:val="212529"/>
          <w:sz w:val="22"/>
          <w:szCs w:val="22"/>
          <w:shd w:val="clear" w:color="auto" w:fill="FFFFFF"/>
        </w:rPr>
        <w:t>puncte</w:t>
      </w:r>
      <w:proofErr w:type="spellEnd"/>
      <w:r>
        <w:rPr>
          <w:color w:val="212529"/>
          <w:sz w:val="22"/>
          <w:szCs w:val="22"/>
          <w:shd w:val="clear" w:color="auto" w:fill="FFFFFF"/>
        </w:rPr>
        <w:t>.</w:t>
      </w:r>
      <w:r>
        <w:rPr>
          <w:color w:val="212529"/>
          <w:sz w:val="22"/>
          <w:szCs w:val="22"/>
        </w:rPr>
        <w:br/>
      </w:r>
      <w:r>
        <w:rPr>
          <w:color w:val="212529"/>
          <w:sz w:val="22"/>
          <w:szCs w:val="22"/>
        </w:rPr>
        <w:br/>
      </w:r>
      <w:r>
        <w:rPr>
          <w:rStyle w:val="Robust"/>
          <w:color w:val="212529"/>
          <w:sz w:val="22"/>
          <w:szCs w:val="22"/>
          <w:shd w:val="clear" w:color="auto" w:fill="FFFFFF"/>
        </w:rPr>
        <w:t>BIBLIOGRAFIA :</w:t>
      </w:r>
    </w:p>
    <w:p w14:paraId="338C6DB2" w14:textId="77777777" w:rsidR="00B36DDE" w:rsidRDefault="00B36DDE" w:rsidP="00B36DDE">
      <w:pPr>
        <w:rPr>
          <w:rStyle w:val="Robust"/>
          <w:color w:val="212529"/>
          <w:sz w:val="22"/>
          <w:szCs w:val="22"/>
          <w:shd w:val="clear" w:color="auto" w:fill="FFFFFF"/>
        </w:rPr>
      </w:pPr>
    </w:p>
    <w:p w14:paraId="2D59085A" w14:textId="77777777" w:rsidR="00B36DDE" w:rsidRDefault="00B36DDE" w:rsidP="00B36DDE">
      <w:pPr>
        <w:rPr>
          <w:rStyle w:val="Robust"/>
          <w:color w:val="212529"/>
          <w:sz w:val="22"/>
          <w:szCs w:val="22"/>
          <w:shd w:val="clear" w:color="auto" w:fill="FFFFFF"/>
        </w:rPr>
      </w:pPr>
      <w:r>
        <w:rPr>
          <w:rStyle w:val="Robust"/>
          <w:color w:val="212529"/>
          <w:sz w:val="22"/>
          <w:szCs w:val="22"/>
          <w:shd w:val="clear" w:color="auto" w:fill="FFFFFF"/>
        </w:rPr>
        <w:t xml:space="preserve">    I.  </w:t>
      </w:r>
      <w:proofErr w:type="spellStart"/>
      <w:r>
        <w:rPr>
          <w:rStyle w:val="Robust"/>
          <w:color w:val="212529"/>
          <w:sz w:val="22"/>
          <w:szCs w:val="22"/>
          <w:shd w:val="clear" w:color="auto" w:fill="FFFFFF"/>
        </w:rPr>
        <w:t>Compartimentul</w:t>
      </w:r>
      <w:proofErr w:type="spellEnd"/>
      <w:r>
        <w:rPr>
          <w:rStyle w:val="Robust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</w:rPr>
        <w:t>Administratie</w:t>
      </w:r>
      <w:proofErr w:type="spellEnd"/>
      <w:r>
        <w:rPr>
          <w:b/>
          <w:bCs/>
        </w:rPr>
        <w:t xml:space="preserve"> publica </w:t>
      </w:r>
      <w:proofErr w:type="spellStart"/>
      <w:r>
        <w:rPr>
          <w:b/>
          <w:bCs/>
        </w:rPr>
        <w:t>locala</w:t>
      </w:r>
      <w:proofErr w:type="spellEnd"/>
      <w:r>
        <w:rPr>
          <w:b/>
          <w:bCs/>
        </w:rPr>
        <w:t xml:space="preserve">, secretariat </w:t>
      </w:r>
      <w:proofErr w:type="spellStart"/>
      <w:r>
        <w:rPr>
          <w:b/>
          <w:bCs/>
        </w:rPr>
        <w:t>administrativ</w:t>
      </w:r>
      <w:proofErr w:type="spellEnd"/>
      <w:r>
        <w:rPr>
          <w:b/>
          <w:bCs/>
        </w:rPr>
        <w:t xml:space="preserve">, stare </w:t>
      </w:r>
      <w:proofErr w:type="spellStart"/>
      <w:r>
        <w:rPr>
          <w:b/>
          <w:bCs/>
        </w:rPr>
        <w:t>civila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autoritate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tutelara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registru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agricol</w:t>
      </w:r>
      <w:proofErr w:type="spellEnd"/>
      <w:r>
        <w:rPr>
          <w:b/>
          <w:bCs/>
        </w:rPr>
        <w:t xml:space="preserve">, fond </w:t>
      </w:r>
      <w:proofErr w:type="spellStart"/>
      <w:r>
        <w:rPr>
          <w:b/>
          <w:bCs/>
        </w:rPr>
        <w:t>funciar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cadastru</w:t>
      </w:r>
      <w:proofErr w:type="spellEnd"/>
      <w:r>
        <w:rPr>
          <w:b/>
          <w:bCs/>
        </w:rPr>
        <w:t>:</w:t>
      </w:r>
    </w:p>
    <w:p w14:paraId="4BA2317F" w14:textId="77777777" w:rsidR="00B36DDE" w:rsidRDefault="00B36DDE" w:rsidP="00B36DDE">
      <w:pPr>
        <w:ind w:left="778"/>
        <w:jc w:val="both"/>
        <w:rPr>
          <w:lang w:val="ro-RO"/>
        </w:rPr>
      </w:pPr>
      <w:bookmarkStart w:id="0" w:name="_Hlk149823870"/>
      <w:r>
        <w:rPr>
          <w:lang w:val="ro-RO"/>
        </w:rPr>
        <w:t xml:space="preserve">1.Constitutia </w:t>
      </w:r>
      <w:proofErr w:type="spellStart"/>
      <w:r>
        <w:rPr>
          <w:lang w:val="ro-RO"/>
        </w:rPr>
        <w:t>Romaniei</w:t>
      </w:r>
      <w:proofErr w:type="spellEnd"/>
    </w:p>
    <w:p w14:paraId="2851B5F2" w14:textId="77777777" w:rsidR="00B36DDE" w:rsidRDefault="00B36DDE" w:rsidP="00B36DDE">
      <w:pPr>
        <w:spacing w:line="276" w:lineRule="auto"/>
        <w:ind w:firstLine="778"/>
      </w:pPr>
      <w:r>
        <w:t xml:space="preserve">2.Ordonanţa </w:t>
      </w:r>
      <w:proofErr w:type="spellStart"/>
      <w:r>
        <w:t>Guvernului</w:t>
      </w:r>
      <w:proofErr w:type="spellEnd"/>
      <w:r>
        <w:t xml:space="preserve"> nr. 137/2000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de </w:t>
      </w:r>
      <w:proofErr w:type="spellStart"/>
      <w:r>
        <w:t>discriminare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61BDD277" w14:textId="77777777" w:rsidR="00B36DDE" w:rsidRDefault="00B36DDE" w:rsidP="00B36DDE">
      <w:pPr>
        <w:spacing w:line="276" w:lineRule="auto"/>
      </w:pPr>
      <w:r>
        <w:t xml:space="preserve">             3.Legea nr. 202/2002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4A3FF8FF" w14:textId="77777777" w:rsidR="00B36DDE" w:rsidRDefault="00B36DDE" w:rsidP="00B36DDE">
      <w:pPr>
        <w:jc w:val="both"/>
        <w:rPr>
          <w:lang w:val="ro-RO"/>
        </w:rPr>
      </w:pPr>
      <w:r>
        <w:rPr>
          <w:lang w:val="ro-RO"/>
        </w:rPr>
        <w:t xml:space="preserve">              4.O.U.G. nr. 57/2019 privind Codul Administrativ ,Partea VI, de la art.365 la art.537</w:t>
      </w:r>
    </w:p>
    <w:bookmarkEnd w:id="0"/>
    <w:p w14:paraId="13401958" w14:textId="77777777" w:rsidR="00B36DDE" w:rsidRDefault="00B36DDE" w:rsidP="00B36DDE">
      <w:pPr>
        <w:jc w:val="both"/>
      </w:pPr>
      <w:r>
        <w:t xml:space="preserve">              5.Ordinul nr. 25/2020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2020-2024</w:t>
      </w:r>
    </w:p>
    <w:p w14:paraId="1D18FC1E" w14:textId="77777777" w:rsidR="00B36DDE" w:rsidRDefault="00B36DDE" w:rsidP="00B36DDE">
      <w:pPr>
        <w:jc w:val="both"/>
      </w:pPr>
      <w:r>
        <w:t xml:space="preserve">              6. NORME TEHNICE din 23 </w:t>
      </w:r>
      <w:proofErr w:type="spellStart"/>
      <w:r>
        <w:t>ianuarie</w:t>
      </w:r>
      <w:proofErr w:type="spellEnd"/>
      <w:r>
        <w:t xml:space="preserve"> 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2020-2024 </w:t>
      </w:r>
      <w:proofErr w:type="spellStart"/>
      <w:r>
        <w:t>aprobat</w:t>
      </w:r>
      <w:proofErr w:type="spellEnd"/>
      <w:r>
        <w:t xml:space="preserve"> de </w:t>
      </w:r>
      <w:proofErr w:type="spellStart"/>
      <w:r>
        <w:t>Ordinul</w:t>
      </w:r>
      <w:proofErr w:type="spellEnd"/>
      <w:r>
        <w:t xml:space="preserve"> 25/2020</w:t>
      </w:r>
    </w:p>
    <w:p w14:paraId="628CD8BF" w14:textId="77777777" w:rsidR="00B36DDE" w:rsidRDefault="00B36DDE" w:rsidP="00B36DDE">
      <w:pPr>
        <w:jc w:val="both"/>
      </w:pPr>
      <w:r>
        <w:t xml:space="preserve">              7.O.G. nr. 28/2008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50640D06" w14:textId="77777777" w:rsidR="00B36DDE" w:rsidRDefault="00B36DDE" w:rsidP="00B36DDE">
      <w:pPr>
        <w:shd w:val="clear" w:color="auto" w:fill="FFFFFF"/>
        <w:spacing w:after="58" w:line="346" w:lineRule="atLeast"/>
        <w:jc w:val="both"/>
        <w:outlineLvl w:val="0"/>
        <w:rPr>
          <w:kern w:val="36"/>
          <w:lang w:val="ro-RO" w:eastAsia="ro-RO"/>
        </w:rPr>
      </w:pPr>
      <w:r>
        <w:rPr>
          <w:kern w:val="36"/>
          <w:lang w:val="ro-RO" w:eastAsia="ro-RO"/>
        </w:rPr>
        <w:t xml:space="preserve">              8.Legea nr. 145/2014 pentru stabilirea unor măsuri de reglementare a pieței produselor din sectorul agricol, cu </w:t>
      </w:r>
      <w:proofErr w:type="spellStart"/>
      <w:r>
        <w:rPr>
          <w:kern w:val="36"/>
          <w:lang w:val="ro-RO" w:eastAsia="ro-RO"/>
        </w:rPr>
        <w:t>modificarile</w:t>
      </w:r>
      <w:proofErr w:type="spellEnd"/>
      <w:r>
        <w:rPr>
          <w:kern w:val="36"/>
          <w:lang w:val="ro-RO" w:eastAsia="ro-RO"/>
        </w:rPr>
        <w:t xml:space="preserve"> si </w:t>
      </w:r>
      <w:proofErr w:type="spellStart"/>
      <w:r>
        <w:rPr>
          <w:kern w:val="36"/>
          <w:lang w:val="ro-RO" w:eastAsia="ro-RO"/>
        </w:rPr>
        <w:t>ccompletarile</w:t>
      </w:r>
      <w:proofErr w:type="spellEnd"/>
      <w:r>
        <w:rPr>
          <w:kern w:val="36"/>
          <w:lang w:val="ro-RO" w:eastAsia="ro-RO"/>
        </w:rPr>
        <w:t xml:space="preserve"> ulterioare</w:t>
      </w:r>
    </w:p>
    <w:p w14:paraId="29547FC4" w14:textId="77777777" w:rsidR="00B36DDE" w:rsidRDefault="00B36DDE" w:rsidP="00B36DDE">
      <w:pPr>
        <w:spacing w:line="276" w:lineRule="auto"/>
        <w:ind w:left="357"/>
        <w:rPr>
          <w:lang w:eastAsia="ar-SA"/>
        </w:rPr>
      </w:pPr>
    </w:p>
    <w:p w14:paraId="29B63ADA" w14:textId="77777777" w:rsidR="00B36DDE" w:rsidRDefault="00B36DDE" w:rsidP="00B36DDE">
      <w:pPr>
        <w:spacing w:line="276" w:lineRule="auto"/>
        <w:ind w:left="357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II.Compartimentul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Politie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locala</w:t>
      </w:r>
      <w:proofErr w:type="spellEnd"/>
    </w:p>
    <w:p w14:paraId="4EFC7CF5" w14:textId="77777777" w:rsidR="00B36DDE" w:rsidRDefault="00B36DDE" w:rsidP="00B36DDE">
      <w:pPr>
        <w:ind w:left="778"/>
        <w:jc w:val="both"/>
        <w:rPr>
          <w:lang w:val="ro-RO"/>
        </w:rPr>
      </w:pPr>
      <w:r>
        <w:rPr>
          <w:lang w:val="ro-RO"/>
        </w:rPr>
        <w:t xml:space="preserve">1.Constitutia </w:t>
      </w:r>
      <w:proofErr w:type="spellStart"/>
      <w:r>
        <w:rPr>
          <w:lang w:val="ro-RO"/>
        </w:rPr>
        <w:t>Romaniei</w:t>
      </w:r>
      <w:proofErr w:type="spellEnd"/>
    </w:p>
    <w:p w14:paraId="4752B2F2" w14:textId="77777777" w:rsidR="00B36DDE" w:rsidRDefault="00B36DDE" w:rsidP="00B36DDE">
      <w:pPr>
        <w:spacing w:line="276" w:lineRule="auto"/>
        <w:ind w:firstLine="778"/>
      </w:pPr>
      <w:r>
        <w:t xml:space="preserve">2.Ordonanţa </w:t>
      </w:r>
      <w:proofErr w:type="spellStart"/>
      <w:r>
        <w:t>Guvernului</w:t>
      </w:r>
      <w:proofErr w:type="spellEnd"/>
      <w:r>
        <w:t xml:space="preserve"> nr. 137/2000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de </w:t>
      </w:r>
      <w:proofErr w:type="spellStart"/>
      <w:r>
        <w:t>discriminare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4AA7D5FD" w14:textId="77777777" w:rsidR="00B36DDE" w:rsidRDefault="00B36DDE" w:rsidP="00B36DDE">
      <w:pPr>
        <w:spacing w:line="276" w:lineRule="auto"/>
      </w:pPr>
      <w:r>
        <w:t xml:space="preserve">             3.Legea nr. 202/2002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egalitatea</w:t>
      </w:r>
      <w:proofErr w:type="spellEnd"/>
      <w:r>
        <w:t xml:space="preserve"> de </w:t>
      </w:r>
      <w:proofErr w:type="spellStart"/>
      <w:r>
        <w:t>şanse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tratament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bărbaţi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3C93037" w14:textId="77777777" w:rsidR="00B36DDE" w:rsidRDefault="00B36DDE" w:rsidP="00B36DDE">
      <w:pPr>
        <w:jc w:val="both"/>
        <w:rPr>
          <w:lang w:val="ro-RO"/>
        </w:rPr>
      </w:pPr>
      <w:r>
        <w:rPr>
          <w:lang w:val="ro-RO"/>
        </w:rPr>
        <w:t xml:space="preserve">              4.O.U.G. nr. 57/2019 privind Codul Administrativ, Partea VI, de la art.365 la art.537</w:t>
      </w:r>
    </w:p>
    <w:p w14:paraId="784B77A2" w14:textId="77777777" w:rsidR="00B36DDE" w:rsidRDefault="00B36DDE" w:rsidP="00B36DDE">
      <w:pPr>
        <w:rPr>
          <w:b/>
        </w:rPr>
      </w:pPr>
      <w:r>
        <w:rPr>
          <w:iCs/>
          <w:lang w:eastAsia="ro-RO"/>
        </w:rPr>
        <w:t xml:space="preserve">              5.  </w:t>
      </w:r>
      <w:proofErr w:type="spellStart"/>
      <w:r>
        <w:rPr>
          <w:iCs/>
          <w:lang w:eastAsia="ro-RO"/>
        </w:rPr>
        <w:t>Legea</w:t>
      </w:r>
      <w:proofErr w:type="spellEnd"/>
      <w:r>
        <w:rPr>
          <w:iCs/>
          <w:lang w:eastAsia="ro-RO"/>
        </w:rPr>
        <w:t xml:space="preserve"> nr. 155/2010- </w:t>
      </w:r>
      <w:proofErr w:type="spellStart"/>
      <w:r>
        <w:rPr>
          <w:iCs/>
          <w:lang w:eastAsia="ro-RO"/>
        </w:rPr>
        <w:t>Legea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Poliției</w:t>
      </w:r>
      <w:proofErr w:type="spellEnd"/>
      <w:r>
        <w:rPr>
          <w:iCs/>
          <w:lang w:eastAsia="ro-RO"/>
        </w:rPr>
        <w:t xml:space="preserve"> Locale.</w:t>
      </w:r>
    </w:p>
    <w:p w14:paraId="023970E6" w14:textId="77777777" w:rsidR="00B36DDE" w:rsidRDefault="00B36DDE" w:rsidP="00B36DDE">
      <w:pPr>
        <w:shd w:val="clear" w:color="auto" w:fill="FFFFFF"/>
        <w:spacing w:line="161" w:lineRule="atLeast"/>
        <w:jc w:val="both"/>
        <w:textAlignment w:val="baseline"/>
        <w:rPr>
          <w:lang w:val="ro-RO" w:eastAsia="ro-RO"/>
        </w:rPr>
      </w:pPr>
      <w:r>
        <w:rPr>
          <w:iCs/>
          <w:lang w:eastAsia="ro-RO"/>
        </w:rPr>
        <w:t xml:space="preserve">               6.   </w:t>
      </w:r>
      <w:proofErr w:type="spellStart"/>
      <w:r>
        <w:rPr>
          <w:iCs/>
          <w:lang w:eastAsia="ro-RO"/>
        </w:rPr>
        <w:t>Hotărârea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Guvernului</w:t>
      </w:r>
      <w:proofErr w:type="spellEnd"/>
      <w:r>
        <w:rPr>
          <w:iCs/>
          <w:lang w:eastAsia="ro-RO"/>
        </w:rPr>
        <w:t xml:space="preserve"> nr. 1332/2010 </w:t>
      </w:r>
      <w:proofErr w:type="spellStart"/>
      <w:r>
        <w:rPr>
          <w:iCs/>
          <w:lang w:eastAsia="ro-RO"/>
        </w:rPr>
        <w:t>privind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aprobarea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Regulamentului</w:t>
      </w:r>
      <w:proofErr w:type="spellEnd"/>
      <w:r>
        <w:rPr>
          <w:iCs/>
          <w:lang w:eastAsia="ro-RO"/>
        </w:rPr>
        <w:t xml:space="preserve">- </w:t>
      </w:r>
      <w:proofErr w:type="spellStart"/>
      <w:r>
        <w:rPr>
          <w:iCs/>
          <w:lang w:eastAsia="ro-RO"/>
        </w:rPr>
        <w:t>Cadru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organizare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funcționare</w:t>
      </w:r>
      <w:proofErr w:type="spellEnd"/>
      <w:r>
        <w:rPr>
          <w:iCs/>
          <w:lang w:eastAsia="ro-RO"/>
        </w:rPr>
        <w:t xml:space="preserve"> a </w:t>
      </w:r>
      <w:proofErr w:type="spellStart"/>
      <w:r>
        <w:rPr>
          <w:iCs/>
          <w:lang w:eastAsia="ro-RO"/>
        </w:rPr>
        <w:t>poliției</w:t>
      </w:r>
      <w:proofErr w:type="spellEnd"/>
      <w:r>
        <w:rPr>
          <w:iCs/>
          <w:lang w:eastAsia="ro-RO"/>
        </w:rPr>
        <w:t xml:space="preserve"> locale</w:t>
      </w:r>
    </w:p>
    <w:p w14:paraId="70ACE285" w14:textId="77777777" w:rsidR="00B36DDE" w:rsidRDefault="00B36DDE" w:rsidP="00B36DDE">
      <w:pPr>
        <w:shd w:val="clear" w:color="auto" w:fill="FFFFFF"/>
        <w:spacing w:line="161" w:lineRule="atLeast"/>
        <w:jc w:val="both"/>
        <w:textAlignment w:val="baseline"/>
        <w:rPr>
          <w:iCs/>
          <w:lang w:eastAsia="ro-RO"/>
        </w:rPr>
      </w:pPr>
      <w:r>
        <w:rPr>
          <w:iCs/>
          <w:lang w:eastAsia="ro-RO"/>
        </w:rPr>
        <w:t xml:space="preserve">               7.  </w:t>
      </w:r>
      <w:proofErr w:type="spellStart"/>
      <w:r>
        <w:rPr>
          <w:iCs/>
          <w:lang w:eastAsia="ro-RO"/>
        </w:rPr>
        <w:t>Legea</w:t>
      </w:r>
      <w:proofErr w:type="spellEnd"/>
      <w:r>
        <w:rPr>
          <w:iCs/>
          <w:lang w:eastAsia="ro-RO"/>
        </w:rPr>
        <w:t xml:space="preserve"> 61/1991 </w:t>
      </w:r>
      <w:proofErr w:type="spellStart"/>
      <w:r>
        <w:rPr>
          <w:iCs/>
          <w:lang w:eastAsia="ro-RO"/>
        </w:rPr>
        <w:t>pentru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sancționarea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faptelor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încălcare</w:t>
      </w:r>
      <w:proofErr w:type="spellEnd"/>
      <w:r>
        <w:rPr>
          <w:iCs/>
          <w:lang w:eastAsia="ro-RO"/>
        </w:rPr>
        <w:t xml:space="preserve"> a </w:t>
      </w:r>
      <w:proofErr w:type="spellStart"/>
      <w:r>
        <w:rPr>
          <w:iCs/>
          <w:lang w:eastAsia="ro-RO"/>
        </w:rPr>
        <w:t>unor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norme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convețuire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socială</w:t>
      </w:r>
      <w:proofErr w:type="spellEnd"/>
      <w:r>
        <w:rPr>
          <w:iCs/>
          <w:lang w:eastAsia="ro-RO"/>
        </w:rPr>
        <w:t xml:space="preserve">, </w:t>
      </w:r>
      <w:proofErr w:type="gramStart"/>
      <w:r>
        <w:rPr>
          <w:iCs/>
          <w:lang w:eastAsia="ro-RO"/>
        </w:rPr>
        <w:t>a</w:t>
      </w:r>
      <w:proofErr w:type="gram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ordinii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liniștii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publice</w:t>
      </w:r>
      <w:proofErr w:type="spellEnd"/>
      <w:r>
        <w:rPr>
          <w:iCs/>
          <w:lang w:eastAsia="ro-RO"/>
        </w:rPr>
        <w:t xml:space="preserve">, </w:t>
      </w:r>
      <w:proofErr w:type="spellStart"/>
      <w:r>
        <w:rPr>
          <w:iCs/>
          <w:lang w:eastAsia="ro-RO"/>
        </w:rPr>
        <w:t>republicată</w:t>
      </w:r>
      <w:proofErr w:type="spellEnd"/>
      <w:r>
        <w:rPr>
          <w:iCs/>
          <w:lang w:eastAsia="ro-RO"/>
        </w:rPr>
        <w:t xml:space="preserve">, cu </w:t>
      </w:r>
      <w:proofErr w:type="spellStart"/>
      <w:r>
        <w:rPr>
          <w:iCs/>
          <w:lang w:eastAsia="ro-RO"/>
        </w:rPr>
        <w:t>modificările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completările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ulterioare</w:t>
      </w:r>
      <w:proofErr w:type="spellEnd"/>
    </w:p>
    <w:p w14:paraId="337B06A6" w14:textId="77777777" w:rsidR="00B36DDE" w:rsidRDefault="00B36DDE" w:rsidP="00B36DDE">
      <w:pPr>
        <w:shd w:val="clear" w:color="auto" w:fill="FFFFFF"/>
        <w:spacing w:line="161" w:lineRule="atLeast"/>
        <w:jc w:val="both"/>
        <w:textAlignment w:val="baseline"/>
        <w:rPr>
          <w:lang w:val="ro-RO" w:eastAsia="ro-RO"/>
        </w:rPr>
      </w:pPr>
      <w:r>
        <w:rPr>
          <w:lang w:val="ro-RO" w:eastAsia="ro-RO"/>
        </w:rPr>
        <w:t xml:space="preserve">               8.O.G nr. 2/2002 privind regimul juridic al </w:t>
      </w:r>
      <w:proofErr w:type="spellStart"/>
      <w:r>
        <w:rPr>
          <w:lang w:val="ro-RO" w:eastAsia="ro-RO"/>
        </w:rPr>
        <w:t>contraventiilor</w:t>
      </w:r>
      <w:proofErr w:type="spellEnd"/>
    </w:p>
    <w:p w14:paraId="11BAE24D" w14:textId="77777777" w:rsidR="00B36DDE" w:rsidRDefault="00B36DDE" w:rsidP="00B36DDE">
      <w:pPr>
        <w:spacing w:line="276" w:lineRule="auto"/>
        <w:rPr>
          <w:lang w:eastAsia="ar-SA"/>
        </w:rPr>
      </w:pPr>
    </w:p>
    <w:p w14:paraId="49886F33" w14:textId="77777777" w:rsidR="00B36DDE" w:rsidRDefault="00B36DDE" w:rsidP="00B36DDE">
      <w:pPr>
        <w:suppressAutoHyphens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TEMATICA</w:t>
      </w:r>
    </w:p>
    <w:p w14:paraId="121EDF75" w14:textId="77777777" w:rsidR="00B36DDE" w:rsidRDefault="00B36DDE" w:rsidP="00B36DDE">
      <w:pPr>
        <w:ind w:left="360"/>
        <w:contextualSpacing/>
        <w:rPr>
          <w:rFonts w:eastAsia="Calibri"/>
          <w:lang w:val="ro-RO"/>
        </w:rPr>
      </w:pPr>
      <w:r>
        <w:rPr>
          <w:rFonts w:eastAsia="Calibri"/>
          <w:lang w:val="ro-RO"/>
        </w:rPr>
        <w:t>În ceea ce privește tematica pentru examen, bibliografia va fi studiata integral</w:t>
      </w:r>
    </w:p>
    <w:p w14:paraId="456F3C82" w14:textId="77777777" w:rsidR="00B36DDE" w:rsidRDefault="00B36DDE" w:rsidP="00B36DDE">
      <w:pPr>
        <w:spacing w:line="276" w:lineRule="auto"/>
        <w:ind w:left="778"/>
      </w:pPr>
    </w:p>
    <w:p w14:paraId="5771191F" w14:textId="77777777" w:rsidR="00B36DDE" w:rsidRDefault="00B36DDE" w:rsidP="00B36DDE">
      <w:r>
        <w:t xml:space="preserve">      </w:t>
      </w:r>
      <w:proofErr w:type="spellStart"/>
      <w:r>
        <w:t>Relatii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la Primaria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Mintiu</w:t>
      </w:r>
      <w:proofErr w:type="spellEnd"/>
      <w:r>
        <w:t xml:space="preserve"> </w:t>
      </w:r>
      <w:proofErr w:type="spellStart"/>
      <w:r>
        <w:t>Gherlii</w:t>
      </w:r>
      <w:proofErr w:type="spellEnd"/>
      <w:r>
        <w:t xml:space="preserve">-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Mintiu</w:t>
      </w:r>
      <w:proofErr w:type="spellEnd"/>
      <w:r>
        <w:t xml:space="preserve"> </w:t>
      </w:r>
      <w:proofErr w:type="spellStart"/>
      <w:r>
        <w:t>Gherlii</w:t>
      </w:r>
      <w:proofErr w:type="spellEnd"/>
      <w:r>
        <w:t xml:space="preserve">, nr. 184, </w:t>
      </w:r>
      <w:proofErr w:type="spellStart"/>
      <w:r>
        <w:t>judetul</w:t>
      </w:r>
      <w:proofErr w:type="spellEnd"/>
      <w:r>
        <w:t xml:space="preserve"> Cluj, </w:t>
      </w:r>
      <w:proofErr w:type="spellStart"/>
      <w:r>
        <w:t>telefon</w:t>
      </w:r>
      <w:proofErr w:type="spellEnd"/>
      <w:r>
        <w:t xml:space="preserve">/fax 0264/241767; </w:t>
      </w:r>
      <w:proofErr w:type="spellStart"/>
      <w:r>
        <w:t>p</w:t>
      </w:r>
      <w:r>
        <w:rPr>
          <w:b/>
        </w:rPr>
        <w:t>ersoana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>contact</w:t>
      </w:r>
      <w:r>
        <w:t xml:space="preserve"> :</w:t>
      </w:r>
      <w:proofErr w:type="gramEnd"/>
      <w:r>
        <w:t xml:space="preserve"> Miclea Ioana </w:t>
      </w:r>
      <w:proofErr w:type="spellStart"/>
      <w:r>
        <w:t>Ștefania</w:t>
      </w:r>
      <w:proofErr w:type="spellEnd"/>
      <w:r>
        <w:t xml:space="preserve"> – </w:t>
      </w:r>
      <w:proofErr w:type="spellStart"/>
      <w:r>
        <w:t>secretar</w:t>
      </w:r>
      <w:proofErr w:type="spellEnd"/>
      <w:r>
        <w:t xml:space="preserve"> general al UAT</w:t>
      </w:r>
    </w:p>
    <w:p w14:paraId="28DDA88F" w14:textId="77777777" w:rsidR="00B36DDE" w:rsidRDefault="00B36DDE" w:rsidP="00B36DDE"/>
    <w:p w14:paraId="42C20BAB" w14:textId="5A9837CF" w:rsidR="00095A93" w:rsidRPr="00B36DDE" w:rsidRDefault="00B36DDE" w:rsidP="00B36DDE">
      <w:r>
        <w:t xml:space="preserve">  </w:t>
      </w:r>
      <w:proofErr w:type="spellStart"/>
      <w:r>
        <w:rPr>
          <w:b/>
          <w:bCs/>
        </w:rPr>
        <w:t>Afisat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azi</w:t>
      </w:r>
      <w:proofErr w:type="spellEnd"/>
      <w:r>
        <w:rPr>
          <w:b/>
          <w:bCs/>
        </w:rPr>
        <w:t>, 27.10. 2023</w:t>
      </w:r>
    </w:p>
    <w:sectPr w:rsidR="00095A93" w:rsidRPr="00B3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E"/>
    <w:rsid w:val="00095A93"/>
    <w:rsid w:val="00B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AAF8"/>
  <w15:chartTrackingRefBased/>
  <w15:docId w15:val="{F8E0C3F8-7490-4DC8-8C28-0AE6FEB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36DDE"/>
    <w:pPr>
      <w:spacing w:after="0" w:line="240" w:lineRule="auto"/>
      <w:jc w:val="both"/>
    </w:pPr>
    <w:rPr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B36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dcterms:created xsi:type="dcterms:W3CDTF">2023-11-02T11:42:00Z</dcterms:created>
  <dcterms:modified xsi:type="dcterms:W3CDTF">2023-11-02T11:48:00Z</dcterms:modified>
</cp:coreProperties>
</file>